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Roboto" w:cs="Roboto" w:eastAsia="Roboto" w:hAnsi="Roboto"/>
          <w:b w:val="1"/>
          <w:sz w:val="60"/>
          <w:szCs w:val="60"/>
        </w:rPr>
      </w:pPr>
      <w:r w:rsidDel="00000000" w:rsidR="00000000" w:rsidRPr="00000000">
        <w:rPr>
          <w:rFonts w:ascii="Roboto" w:cs="Roboto" w:eastAsia="Roboto" w:hAnsi="Roboto"/>
          <w:b w:val="1"/>
          <w:sz w:val="60"/>
          <w:szCs w:val="60"/>
          <w:rtl w:val="0"/>
        </w:rPr>
        <w:t xml:space="preserve">References</w:t>
      </w:r>
    </w:p>
    <w:p w:rsidR="00000000" w:rsidDel="00000000" w:rsidP="00000000" w:rsidRDefault="00000000" w:rsidRPr="00000000" w14:paraId="00000002">
      <w:pPr>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03">
      <w:pPr>
        <w:jc w:val="left"/>
        <w:rPr>
          <w:rFonts w:ascii="Roboto" w:cs="Roboto" w:eastAsia="Roboto" w:hAnsi="Roboto"/>
          <w:sz w:val="28"/>
          <w:szCs w:val="28"/>
        </w:rPr>
      </w:pPr>
      <w:r w:rsidDel="00000000" w:rsidR="00000000" w:rsidRPr="00000000">
        <w:rPr>
          <w:rFonts w:ascii="Roboto" w:cs="Roboto" w:eastAsia="Roboto" w:hAnsi="Roboto"/>
          <w:sz w:val="28"/>
          <w:szCs w:val="28"/>
          <w:rtl w:val="0"/>
        </w:rPr>
        <w:t xml:space="preserve">1. Yubero-Serrano EM, Fernandez-Gandara C, Garcia-Rios A, et al. Mediterranean diet and endothelial function in patients with coronary heart disease: An analysis of the CORDIOPREV randomized controlled trial. </w:t>
      </w:r>
      <w:r w:rsidDel="00000000" w:rsidR="00000000" w:rsidRPr="00000000">
        <w:rPr>
          <w:rFonts w:ascii="Roboto" w:cs="Roboto" w:eastAsia="Roboto" w:hAnsi="Roboto"/>
          <w:i w:val="1"/>
          <w:sz w:val="28"/>
          <w:szCs w:val="28"/>
          <w:rtl w:val="0"/>
        </w:rPr>
        <w:t xml:space="preserve">PLoS Medicine</w:t>
      </w:r>
      <w:r w:rsidDel="00000000" w:rsidR="00000000" w:rsidRPr="00000000">
        <w:rPr>
          <w:rFonts w:ascii="Roboto" w:cs="Roboto" w:eastAsia="Roboto" w:hAnsi="Roboto"/>
          <w:sz w:val="28"/>
          <w:szCs w:val="28"/>
          <w:rtl w:val="0"/>
        </w:rPr>
        <w:t xml:space="preserve">. 2020;17(9). doi:10.1371/journal.pmed.1003282</w:t>
      </w:r>
    </w:p>
    <w:p w:rsidR="00000000" w:rsidDel="00000000" w:rsidP="00000000" w:rsidRDefault="00000000" w:rsidRPr="00000000" w14:paraId="00000004">
      <w:pPr>
        <w:jc w:val="left"/>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05">
      <w:pPr>
        <w:jc w:val="left"/>
        <w:rPr>
          <w:rFonts w:ascii="Roboto" w:cs="Roboto" w:eastAsia="Roboto" w:hAnsi="Roboto"/>
          <w:sz w:val="28"/>
          <w:szCs w:val="28"/>
        </w:rPr>
      </w:pPr>
      <w:r w:rsidDel="00000000" w:rsidR="00000000" w:rsidRPr="00000000">
        <w:rPr>
          <w:rFonts w:ascii="Roboto" w:cs="Roboto" w:eastAsia="Roboto" w:hAnsi="Roboto"/>
          <w:sz w:val="28"/>
          <w:szCs w:val="28"/>
          <w:rtl w:val="0"/>
        </w:rPr>
        <w:t xml:space="preserve">2. University of Córdoba. Mediterranean diet reduces the risk of having another heart attack, study shows. ScienceDaily. Published December 4, 2020. Accessed December 29, 2020. </w:t>
      </w:r>
      <w:hyperlink r:id="rId6">
        <w:r w:rsidDel="00000000" w:rsidR="00000000" w:rsidRPr="00000000">
          <w:rPr>
            <w:rFonts w:ascii="Roboto" w:cs="Roboto" w:eastAsia="Roboto" w:hAnsi="Roboto"/>
            <w:color w:val="1155cc"/>
            <w:sz w:val="28"/>
            <w:szCs w:val="28"/>
            <w:u w:val="single"/>
            <w:rtl w:val="0"/>
          </w:rPr>
          <w:t xml:space="preserve">https://www.sciencedaily.com/releases/2020/12/201204110204.htm</w:t>
        </w:r>
      </w:hyperlink>
      <w:r w:rsidDel="00000000" w:rsidR="00000000" w:rsidRPr="00000000">
        <w:rPr>
          <w:rtl w:val="0"/>
        </w:rPr>
      </w:r>
    </w:p>
    <w:p w:rsidR="00000000" w:rsidDel="00000000" w:rsidP="00000000" w:rsidRDefault="00000000" w:rsidRPr="00000000" w14:paraId="00000006">
      <w:pPr>
        <w:jc w:val="left"/>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07">
      <w:pPr>
        <w:jc w:val="left"/>
        <w:rPr>
          <w:rFonts w:ascii="Roboto" w:cs="Roboto" w:eastAsia="Roboto" w:hAnsi="Roboto"/>
          <w:sz w:val="28"/>
          <w:szCs w:val="28"/>
        </w:rPr>
      </w:pPr>
      <w:r w:rsidDel="00000000" w:rsidR="00000000" w:rsidRPr="00000000">
        <w:rPr>
          <w:rFonts w:ascii="Roboto" w:cs="Roboto" w:eastAsia="Roboto" w:hAnsi="Roboto"/>
          <w:sz w:val="28"/>
          <w:szCs w:val="28"/>
          <w:rtl w:val="0"/>
        </w:rPr>
        <w:t xml:space="preserve">3. Mayo Clinic Staff. Mediterranean diet: A heart-healthy eating plan. Mayo Clinic. Published 2019. Accessed December 23, 2020. </w:t>
      </w:r>
      <w:hyperlink r:id="rId7">
        <w:r w:rsidDel="00000000" w:rsidR="00000000" w:rsidRPr="00000000">
          <w:rPr>
            <w:rFonts w:ascii="Roboto" w:cs="Roboto" w:eastAsia="Roboto" w:hAnsi="Roboto"/>
            <w:color w:val="1155cc"/>
            <w:sz w:val="28"/>
            <w:szCs w:val="28"/>
            <w:u w:val="single"/>
            <w:rtl w:val="0"/>
          </w:rPr>
          <w:t xml:space="preserve">https://www.mayoclinic.org/healthy-lifestyle/nutrition-and-healthy-eating/in-depth/mediterranean-diet/art-20047801</w:t>
        </w:r>
      </w:hyperlink>
      <w:r w:rsidDel="00000000" w:rsidR="00000000" w:rsidRPr="00000000">
        <w:rPr>
          <w:rtl w:val="0"/>
        </w:rPr>
      </w:r>
    </w:p>
    <w:p w:rsidR="00000000" w:rsidDel="00000000" w:rsidP="00000000" w:rsidRDefault="00000000" w:rsidRPr="00000000" w14:paraId="00000008">
      <w:pPr>
        <w:jc w:val="left"/>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09">
      <w:pPr>
        <w:jc w:val="left"/>
        <w:rPr>
          <w:rFonts w:ascii="Roboto" w:cs="Roboto" w:eastAsia="Roboto" w:hAnsi="Roboto"/>
          <w:sz w:val="28"/>
          <w:szCs w:val="28"/>
        </w:rPr>
      </w:pPr>
      <w:r w:rsidDel="00000000" w:rsidR="00000000" w:rsidRPr="00000000">
        <w:rPr>
          <w:rFonts w:ascii="Roboto" w:cs="Roboto" w:eastAsia="Roboto" w:hAnsi="Roboto"/>
          <w:sz w:val="28"/>
          <w:szCs w:val="28"/>
          <w:rtl w:val="0"/>
        </w:rPr>
        <w:t xml:space="preserve">4. Arnett DK, Blumenthal RS, Albert MA, et al. 2019 ACC/AHA Guideline on the Primary Prevention of Cardiovascular Disease. </w:t>
      </w:r>
      <w:r w:rsidDel="00000000" w:rsidR="00000000" w:rsidRPr="00000000">
        <w:rPr>
          <w:rFonts w:ascii="Roboto" w:cs="Roboto" w:eastAsia="Roboto" w:hAnsi="Roboto"/>
          <w:i w:val="1"/>
          <w:sz w:val="28"/>
          <w:szCs w:val="28"/>
          <w:rtl w:val="0"/>
        </w:rPr>
        <w:t xml:space="preserve">Circulation</w:t>
      </w:r>
      <w:r w:rsidDel="00000000" w:rsidR="00000000" w:rsidRPr="00000000">
        <w:rPr>
          <w:rFonts w:ascii="Roboto" w:cs="Roboto" w:eastAsia="Roboto" w:hAnsi="Roboto"/>
          <w:sz w:val="28"/>
          <w:szCs w:val="28"/>
          <w:rtl w:val="0"/>
        </w:rPr>
        <w:t xml:space="preserve">. 2019;140(11):e605-e607. doi:10.1161/cir.0000000000000678</w:t>
      </w:r>
    </w:p>
    <w:p w:rsidR="00000000" w:rsidDel="00000000" w:rsidP="00000000" w:rsidRDefault="00000000" w:rsidRPr="00000000" w14:paraId="0000000A">
      <w:pPr>
        <w:jc w:val="left"/>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0B">
      <w:pPr>
        <w:jc w:val="left"/>
        <w:rPr>
          <w:rFonts w:ascii="Roboto" w:cs="Roboto" w:eastAsia="Roboto" w:hAnsi="Roboto"/>
          <w:sz w:val="28"/>
          <w:szCs w:val="28"/>
        </w:rPr>
      </w:pPr>
      <w:r w:rsidDel="00000000" w:rsidR="00000000" w:rsidRPr="00000000">
        <w:rPr>
          <w:rFonts w:ascii="Roboto" w:cs="Roboto" w:eastAsia="Roboto" w:hAnsi="Roboto"/>
          <w:sz w:val="28"/>
          <w:szCs w:val="28"/>
          <w:rtl w:val="0"/>
        </w:rPr>
        <w:t xml:space="preserve">5. Krist AH, Davidson KW, Mangione CM, et al. Behavioral Counseling Interventions to Promote a Healthy Diet and Physical Activity for Cardiovascular Disease Prevention in Adults With Cardiovascular Risk Factors. </w:t>
      </w:r>
      <w:r w:rsidDel="00000000" w:rsidR="00000000" w:rsidRPr="00000000">
        <w:rPr>
          <w:rFonts w:ascii="Roboto" w:cs="Roboto" w:eastAsia="Roboto" w:hAnsi="Roboto"/>
          <w:i w:val="1"/>
          <w:sz w:val="28"/>
          <w:szCs w:val="28"/>
          <w:rtl w:val="0"/>
        </w:rPr>
        <w:t xml:space="preserve">JAMA</w:t>
      </w:r>
      <w:r w:rsidDel="00000000" w:rsidR="00000000" w:rsidRPr="00000000">
        <w:rPr>
          <w:rFonts w:ascii="Roboto" w:cs="Roboto" w:eastAsia="Roboto" w:hAnsi="Roboto"/>
          <w:sz w:val="28"/>
          <w:szCs w:val="28"/>
          <w:rtl w:val="0"/>
        </w:rPr>
        <w:t xml:space="preserve">. 2020;324(20):2069. doi:10.1001/jama.2020.21749</w:t>
      </w:r>
    </w:p>
    <w:p w:rsidR="00000000" w:rsidDel="00000000" w:rsidP="00000000" w:rsidRDefault="00000000" w:rsidRPr="00000000" w14:paraId="0000000C">
      <w:pPr>
        <w:jc w:val="left"/>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0D">
      <w:pPr>
        <w:jc w:val="left"/>
        <w:rPr>
          <w:rFonts w:ascii="Roboto" w:cs="Roboto" w:eastAsia="Roboto" w:hAnsi="Roboto"/>
          <w:sz w:val="28"/>
          <w:szCs w:val="28"/>
        </w:rPr>
      </w:pPr>
      <w:r w:rsidDel="00000000" w:rsidR="00000000" w:rsidRPr="00000000">
        <w:rPr>
          <w:rFonts w:ascii="Roboto" w:cs="Roboto" w:eastAsia="Roboto" w:hAnsi="Roboto"/>
          <w:sz w:val="28"/>
          <w:szCs w:val="28"/>
          <w:rtl w:val="0"/>
        </w:rPr>
        <w:t xml:space="preserve">6. Rees K, Takeda A, Martin N, et al. Mediterranean-style diet for the primary and secondary prevention of cardiovascular disease. </w:t>
      </w:r>
      <w:r w:rsidDel="00000000" w:rsidR="00000000" w:rsidRPr="00000000">
        <w:rPr>
          <w:rFonts w:ascii="Roboto" w:cs="Roboto" w:eastAsia="Roboto" w:hAnsi="Roboto"/>
          <w:i w:val="1"/>
          <w:sz w:val="28"/>
          <w:szCs w:val="28"/>
          <w:rtl w:val="0"/>
        </w:rPr>
        <w:t xml:space="preserve">Cochrane Database of Systematic Reviews</w:t>
      </w:r>
      <w:r w:rsidDel="00000000" w:rsidR="00000000" w:rsidRPr="00000000">
        <w:rPr>
          <w:rFonts w:ascii="Roboto" w:cs="Roboto" w:eastAsia="Roboto" w:hAnsi="Roboto"/>
          <w:sz w:val="28"/>
          <w:szCs w:val="28"/>
          <w:rtl w:val="0"/>
        </w:rPr>
        <w:t xml:space="preserve">. 2019;2019(3):1-2. doi:10.1002/14651858.cd009825.pub3</w:t>
      </w:r>
    </w:p>
    <w:p w:rsidR="00000000" w:rsidDel="00000000" w:rsidP="00000000" w:rsidRDefault="00000000" w:rsidRPr="00000000" w14:paraId="0000000E">
      <w:pPr>
        <w:jc w:val="left"/>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0F">
      <w:pPr>
        <w:jc w:val="left"/>
        <w:rPr>
          <w:rFonts w:ascii="Roboto" w:cs="Roboto" w:eastAsia="Roboto" w:hAnsi="Roboto"/>
          <w:sz w:val="28"/>
          <w:szCs w:val="28"/>
        </w:rPr>
      </w:pPr>
      <w:r w:rsidDel="00000000" w:rsidR="00000000" w:rsidRPr="00000000">
        <w:rPr>
          <w:rFonts w:ascii="Roboto" w:cs="Roboto" w:eastAsia="Roboto" w:hAnsi="Roboto"/>
          <w:sz w:val="28"/>
          <w:szCs w:val="28"/>
          <w:rtl w:val="0"/>
        </w:rPr>
        <w:t xml:space="preserve">7. Piepoli MF, Hoes AW, Agewall S, et al. 2016 European Guidelines on cardiovascular disease prevention in clinical practice: The Sixth Joint Task Force of the European Society of Cardiology and Other Societies on Cardiovascular Disease Prevention in Clinical Practice (constituted by representatives of 10 societies and by invited experts)Developed with the special contribution of the European Association for Cardiovascular Prevention &amp; Rehabilitation (EACPR). </w:t>
      </w:r>
      <w:r w:rsidDel="00000000" w:rsidR="00000000" w:rsidRPr="00000000">
        <w:rPr>
          <w:rFonts w:ascii="Roboto" w:cs="Roboto" w:eastAsia="Roboto" w:hAnsi="Roboto"/>
          <w:i w:val="1"/>
          <w:sz w:val="28"/>
          <w:szCs w:val="28"/>
          <w:rtl w:val="0"/>
        </w:rPr>
        <w:t xml:space="preserve">European Heart Journal</w:t>
      </w:r>
      <w:r w:rsidDel="00000000" w:rsidR="00000000" w:rsidRPr="00000000">
        <w:rPr>
          <w:rFonts w:ascii="Roboto" w:cs="Roboto" w:eastAsia="Roboto" w:hAnsi="Roboto"/>
          <w:sz w:val="28"/>
          <w:szCs w:val="28"/>
          <w:rtl w:val="0"/>
        </w:rPr>
        <w:t xml:space="preserve">. 2016;37(29):2315-2381. doi:10.1093/eurheartj/ehw106</w:t>
      </w:r>
    </w:p>
    <w:p w:rsidR="00000000" w:rsidDel="00000000" w:rsidP="00000000" w:rsidRDefault="00000000" w:rsidRPr="00000000" w14:paraId="00000010">
      <w:pPr>
        <w:jc w:val="left"/>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11">
      <w:pPr>
        <w:jc w:val="left"/>
        <w:rPr>
          <w:rFonts w:ascii="Roboto" w:cs="Roboto" w:eastAsia="Roboto" w:hAnsi="Roboto"/>
          <w:sz w:val="28"/>
          <w:szCs w:val="28"/>
        </w:rPr>
      </w:pPr>
      <w:r w:rsidDel="00000000" w:rsidR="00000000" w:rsidRPr="00000000">
        <w:rPr>
          <w:rFonts w:ascii="Roboto" w:cs="Roboto" w:eastAsia="Roboto" w:hAnsi="Roboto"/>
          <w:sz w:val="28"/>
          <w:szCs w:val="28"/>
          <w:rtl w:val="0"/>
        </w:rPr>
        <w:t xml:space="preserve">8. Kernan WN, Ovbiagele B, Black HR, et al. Guidelines for the prevention of stroke in patients with stroke and transient ischemic attack: a guideline for healthcare professionals from the American Heart Association/American Stroke Association. </w:t>
      </w:r>
      <w:r w:rsidDel="00000000" w:rsidR="00000000" w:rsidRPr="00000000">
        <w:rPr>
          <w:rFonts w:ascii="Roboto" w:cs="Roboto" w:eastAsia="Roboto" w:hAnsi="Roboto"/>
          <w:i w:val="1"/>
          <w:sz w:val="28"/>
          <w:szCs w:val="28"/>
          <w:rtl w:val="0"/>
        </w:rPr>
        <w:t xml:space="preserve">Stroke</w:t>
      </w:r>
      <w:r w:rsidDel="00000000" w:rsidR="00000000" w:rsidRPr="00000000">
        <w:rPr>
          <w:rFonts w:ascii="Roboto" w:cs="Roboto" w:eastAsia="Roboto" w:hAnsi="Roboto"/>
          <w:sz w:val="28"/>
          <w:szCs w:val="28"/>
          <w:rtl w:val="0"/>
        </w:rPr>
        <w:t xml:space="preserve">. 2014;45(7):2160-2236. doi:10.1161/STR.0000000000000024</w:t>
      </w:r>
    </w:p>
    <w:p w:rsidR="00000000" w:rsidDel="00000000" w:rsidP="00000000" w:rsidRDefault="00000000" w:rsidRPr="00000000" w14:paraId="00000012">
      <w:pPr>
        <w:jc w:val="left"/>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13">
      <w:pPr>
        <w:jc w:val="left"/>
        <w:rPr>
          <w:rFonts w:ascii="Roboto" w:cs="Roboto" w:eastAsia="Roboto" w:hAnsi="Roboto"/>
          <w:sz w:val="28"/>
          <w:szCs w:val="28"/>
        </w:rPr>
      </w:pPr>
      <w:r w:rsidDel="00000000" w:rsidR="00000000" w:rsidRPr="00000000">
        <w:rPr>
          <w:rFonts w:ascii="Roboto" w:cs="Roboto" w:eastAsia="Roboto" w:hAnsi="Roboto"/>
          <w:sz w:val="28"/>
          <w:szCs w:val="28"/>
          <w:rtl w:val="0"/>
        </w:rPr>
        <w:t xml:space="preserve">9. World Health Organization. </w:t>
      </w:r>
      <w:r w:rsidDel="00000000" w:rsidR="00000000" w:rsidRPr="00000000">
        <w:rPr>
          <w:rFonts w:ascii="Roboto" w:cs="Roboto" w:eastAsia="Roboto" w:hAnsi="Roboto"/>
          <w:i w:val="1"/>
          <w:sz w:val="28"/>
          <w:szCs w:val="28"/>
          <w:rtl w:val="0"/>
        </w:rPr>
        <w:t xml:space="preserve">Risk Reduction of Cognitive Decline and Dementia</w:t>
      </w:r>
      <w:r w:rsidDel="00000000" w:rsidR="00000000" w:rsidRPr="00000000">
        <w:rPr>
          <w:rFonts w:ascii="Roboto" w:cs="Roboto" w:eastAsia="Roboto" w:hAnsi="Roboto"/>
          <w:sz w:val="28"/>
          <w:szCs w:val="28"/>
          <w:rtl w:val="0"/>
        </w:rPr>
        <w:t xml:space="preserve">. World Health Organization; 2019:18-21. Accessed December 23, 2020. </w:t>
      </w:r>
      <w:hyperlink r:id="rId8">
        <w:r w:rsidDel="00000000" w:rsidR="00000000" w:rsidRPr="00000000">
          <w:rPr>
            <w:rFonts w:ascii="Roboto" w:cs="Roboto" w:eastAsia="Roboto" w:hAnsi="Roboto"/>
            <w:color w:val="1155cc"/>
            <w:sz w:val="28"/>
            <w:szCs w:val="28"/>
            <w:u w:val="single"/>
            <w:rtl w:val="0"/>
          </w:rPr>
          <w:t xml:space="preserve">https://www.who.int/mental_health/neurology/dementia/guidelines_risk_reduction/en/</w:t>
        </w:r>
      </w:hyperlink>
      <w:r w:rsidDel="00000000" w:rsidR="00000000" w:rsidRPr="00000000">
        <w:rPr>
          <w:rtl w:val="0"/>
        </w:rPr>
      </w:r>
    </w:p>
    <w:p w:rsidR="00000000" w:rsidDel="00000000" w:rsidP="00000000" w:rsidRDefault="00000000" w:rsidRPr="00000000" w14:paraId="00000014">
      <w:pPr>
        <w:jc w:val="left"/>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15">
      <w:pPr>
        <w:jc w:val="left"/>
        <w:rPr>
          <w:rFonts w:ascii="Roboto" w:cs="Roboto" w:eastAsia="Roboto" w:hAnsi="Roboto"/>
          <w:sz w:val="28"/>
          <w:szCs w:val="28"/>
        </w:rPr>
      </w:pPr>
      <w:r w:rsidDel="00000000" w:rsidR="00000000" w:rsidRPr="00000000">
        <w:rPr>
          <w:rFonts w:ascii="Roboto" w:cs="Roboto" w:eastAsia="Roboto" w:hAnsi="Roboto"/>
          <w:sz w:val="28"/>
          <w:szCs w:val="28"/>
          <w:rtl w:val="0"/>
        </w:rPr>
        <w:t xml:space="preserve">10. Wein T, Gladstone D, Canadian Stroke Best Practice Recommendations SECONDARY PREVENTION of STROKE Writing Group. </w:t>
      </w:r>
      <w:r w:rsidDel="00000000" w:rsidR="00000000" w:rsidRPr="00000000">
        <w:rPr>
          <w:rFonts w:ascii="Roboto" w:cs="Roboto" w:eastAsia="Roboto" w:hAnsi="Roboto"/>
          <w:i w:val="1"/>
          <w:sz w:val="28"/>
          <w:szCs w:val="28"/>
          <w:rtl w:val="0"/>
        </w:rPr>
        <w:t xml:space="preserve">Canadian Stroke Best Practice Recommendations – Secondary Prevention of Stroke</w:t>
      </w:r>
      <w:r w:rsidDel="00000000" w:rsidR="00000000" w:rsidRPr="00000000">
        <w:rPr>
          <w:rFonts w:ascii="Roboto" w:cs="Roboto" w:eastAsia="Roboto" w:hAnsi="Roboto"/>
          <w:sz w:val="28"/>
          <w:szCs w:val="28"/>
          <w:rtl w:val="0"/>
        </w:rPr>
        <w:t xml:space="preserve">. Heart and Stroke Foundation of Canada; 2017:18-21. Accessed December 24, 2020. </w:t>
      </w:r>
    </w:p>
    <w:p w:rsidR="00000000" w:rsidDel="00000000" w:rsidP="00000000" w:rsidRDefault="00000000" w:rsidRPr="00000000" w14:paraId="00000016">
      <w:pPr>
        <w:jc w:val="left"/>
        <w:rPr>
          <w:rFonts w:ascii="Roboto" w:cs="Roboto" w:eastAsia="Roboto" w:hAnsi="Roboto"/>
          <w:sz w:val="28"/>
          <w:szCs w:val="28"/>
        </w:rPr>
      </w:pPr>
      <w:hyperlink r:id="rId9">
        <w:r w:rsidDel="00000000" w:rsidR="00000000" w:rsidRPr="00000000">
          <w:rPr>
            <w:rFonts w:ascii="Roboto" w:cs="Roboto" w:eastAsia="Roboto" w:hAnsi="Roboto"/>
            <w:color w:val="1155cc"/>
            <w:sz w:val="28"/>
            <w:szCs w:val="28"/>
            <w:u w:val="single"/>
            <w:rtl w:val="0"/>
          </w:rPr>
          <w:t xml:space="preserve">https://www.strokebestpractices.ca/recommendations/secondary-prevention-of-stroke</w:t>
        </w:r>
      </w:hyperlink>
      <w:r w:rsidDel="00000000" w:rsidR="00000000" w:rsidRPr="00000000">
        <w:rPr>
          <w:rtl w:val="0"/>
        </w:rPr>
      </w:r>
    </w:p>
    <w:p w:rsidR="00000000" w:rsidDel="00000000" w:rsidP="00000000" w:rsidRDefault="00000000" w:rsidRPr="00000000" w14:paraId="00000017">
      <w:pPr>
        <w:jc w:val="left"/>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18">
      <w:pPr>
        <w:jc w:val="left"/>
        <w:rPr>
          <w:rFonts w:ascii="Roboto" w:cs="Roboto" w:eastAsia="Roboto" w:hAnsi="Roboto"/>
          <w:sz w:val="28"/>
          <w:szCs w:val="28"/>
        </w:rPr>
      </w:pPr>
      <w:r w:rsidDel="00000000" w:rsidR="00000000" w:rsidRPr="00000000">
        <w:rPr>
          <w:rFonts w:ascii="Roboto" w:cs="Roboto" w:eastAsia="Roboto" w:hAnsi="Roboto"/>
          <w:sz w:val="28"/>
          <w:szCs w:val="28"/>
          <w:rtl w:val="0"/>
        </w:rPr>
        <w:t xml:space="preserve">11. Feigin VL, Vos T, Alahdab F, et al. Burden of Neurological Disorders Across the US From 1990-2017. </w:t>
      </w:r>
      <w:r w:rsidDel="00000000" w:rsidR="00000000" w:rsidRPr="00000000">
        <w:rPr>
          <w:rFonts w:ascii="Roboto" w:cs="Roboto" w:eastAsia="Roboto" w:hAnsi="Roboto"/>
          <w:i w:val="1"/>
          <w:sz w:val="28"/>
          <w:szCs w:val="28"/>
          <w:rtl w:val="0"/>
        </w:rPr>
        <w:t xml:space="preserve">JAMA Neurology</w:t>
      </w:r>
      <w:r w:rsidDel="00000000" w:rsidR="00000000" w:rsidRPr="00000000">
        <w:rPr>
          <w:rFonts w:ascii="Roboto" w:cs="Roboto" w:eastAsia="Roboto" w:hAnsi="Roboto"/>
          <w:sz w:val="28"/>
          <w:szCs w:val="28"/>
          <w:rtl w:val="0"/>
        </w:rPr>
        <w:t xml:space="preserve">. Published online November 2, 2020:e5. doi:10.1001/jamaneurol.2020.4152</w:t>
      </w:r>
    </w:p>
    <w:p w:rsidR="00000000" w:rsidDel="00000000" w:rsidP="00000000" w:rsidRDefault="00000000" w:rsidRPr="00000000" w14:paraId="00000019">
      <w:pPr>
        <w:jc w:val="left"/>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1A">
      <w:pPr>
        <w:jc w:val="left"/>
        <w:rPr>
          <w:rFonts w:ascii="Roboto" w:cs="Roboto" w:eastAsia="Roboto" w:hAnsi="Roboto"/>
          <w:sz w:val="28"/>
          <w:szCs w:val="28"/>
        </w:rPr>
      </w:pPr>
      <w:r w:rsidDel="00000000" w:rsidR="00000000" w:rsidRPr="00000000">
        <w:rPr>
          <w:rFonts w:ascii="Roboto" w:cs="Roboto" w:eastAsia="Roboto" w:hAnsi="Roboto"/>
          <w:sz w:val="28"/>
          <w:szCs w:val="28"/>
          <w:rtl w:val="0"/>
        </w:rPr>
        <w:t xml:space="preserve">12. Alcalay RN, Gu Y, Mejia-Santana H, Cote L, Marder KS, Scarmeas N. The association between Mediterranean diet adherence and Parkinson’s disease. </w:t>
      </w:r>
      <w:r w:rsidDel="00000000" w:rsidR="00000000" w:rsidRPr="00000000">
        <w:rPr>
          <w:rFonts w:ascii="Roboto" w:cs="Roboto" w:eastAsia="Roboto" w:hAnsi="Roboto"/>
          <w:i w:val="1"/>
          <w:sz w:val="28"/>
          <w:szCs w:val="28"/>
          <w:rtl w:val="0"/>
        </w:rPr>
        <w:t xml:space="preserve">Movement Disorders</w:t>
      </w:r>
      <w:r w:rsidDel="00000000" w:rsidR="00000000" w:rsidRPr="00000000">
        <w:rPr>
          <w:rFonts w:ascii="Roboto" w:cs="Roboto" w:eastAsia="Roboto" w:hAnsi="Roboto"/>
          <w:sz w:val="28"/>
          <w:szCs w:val="28"/>
          <w:rtl w:val="0"/>
        </w:rPr>
        <w:t xml:space="preserve">. 2012;27(6):771-774. doi:10.1002/mds.24918</w:t>
      </w:r>
    </w:p>
    <w:p w:rsidR="00000000" w:rsidDel="00000000" w:rsidP="00000000" w:rsidRDefault="00000000" w:rsidRPr="00000000" w14:paraId="0000001B">
      <w:pPr>
        <w:jc w:val="left"/>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1C">
      <w:pPr>
        <w:jc w:val="left"/>
        <w:rPr>
          <w:rFonts w:ascii="Roboto" w:cs="Roboto" w:eastAsia="Roboto" w:hAnsi="Roboto"/>
          <w:sz w:val="28"/>
          <w:szCs w:val="28"/>
        </w:rPr>
      </w:pPr>
      <w:r w:rsidDel="00000000" w:rsidR="00000000" w:rsidRPr="00000000">
        <w:rPr>
          <w:rFonts w:ascii="Roboto" w:cs="Roboto" w:eastAsia="Roboto" w:hAnsi="Roboto"/>
          <w:sz w:val="28"/>
          <w:szCs w:val="28"/>
          <w:rtl w:val="0"/>
        </w:rPr>
        <w:t xml:space="preserve">13. Gao X, Chen H, Fung TT, et al. Prospective study of dietary pattern and risk of Parkinson disease. </w:t>
      </w:r>
      <w:r w:rsidDel="00000000" w:rsidR="00000000" w:rsidRPr="00000000">
        <w:rPr>
          <w:rFonts w:ascii="Roboto" w:cs="Roboto" w:eastAsia="Roboto" w:hAnsi="Roboto"/>
          <w:i w:val="1"/>
          <w:sz w:val="28"/>
          <w:szCs w:val="28"/>
          <w:rtl w:val="0"/>
        </w:rPr>
        <w:t xml:space="preserve">The American Journal of Clinical Nutrition</w:t>
      </w:r>
      <w:r w:rsidDel="00000000" w:rsidR="00000000" w:rsidRPr="00000000">
        <w:rPr>
          <w:rFonts w:ascii="Roboto" w:cs="Roboto" w:eastAsia="Roboto" w:hAnsi="Roboto"/>
          <w:sz w:val="28"/>
          <w:szCs w:val="28"/>
          <w:rtl w:val="0"/>
        </w:rPr>
        <w:t xml:space="preserve">. 2007;86(5):1486-1494. doi:10.1093/ajcn/86.5.1486</w:t>
      </w:r>
    </w:p>
    <w:p w:rsidR="00000000" w:rsidDel="00000000" w:rsidP="00000000" w:rsidRDefault="00000000" w:rsidRPr="00000000" w14:paraId="0000001D">
      <w:pPr>
        <w:jc w:val="left"/>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1E">
      <w:pPr>
        <w:jc w:val="left"/>
        <w:rPr>
          <w:rFonts w:ascii="Roboto" w:cs="Roboto" w:eastAsia="Roboto" w:hAnsi="Roboto"/>
          <w:sz w:val="28"/>
          <w:szCs w:val="28"/>
        </w:rPr>
      </w:pPr>
      <w:r w:rsidDel="00000000" w:rsidR="00000000" w:rsidRPr="00000000">
        <w:rPr>
          <w:rFonts w:ascii="Roboto" w:cs="Roboto" w:eastAsia="Roboto" w:hAnsi="Roboto"/>
          <w:sz w:val="28"/>
          <w:szCs w:val="28"/>
          <w:rtl w:val="0"/>
        </w:rPr>
        <w:t xml:space="preserve">14. Francis HM, Stevenson RJ. Potential for diet to prevent and remediate cognitive deficits in neurological disorders. </w:t>
      </w:r>
      <w:r w:rsidDel="00000000" w:rsidR="00000000" w:rsidRPr="00000000">
        <w:rPr>
          <w:rFonts w:ascii="Roboto" w:cs="Roboto" w:eastAsia="Roboto" w:hAnsi="Roboto"/>
          <w:i w:val="1"/>
          <w:sz w:val="28"/>
          <w:szCs w:val="28"/>
          <w:rtl w:val="0"/>
        </w:rPr>
        <w:t xml:space="preserve">Nutrition Reviews</w:t>
      </w:r>
      <w:r w:rsidDel="00000000" w:rsidR="00000000" w:rsidRPr="00000000">
        <w:rPr>
          <w:rFonts w:ascii="Roboto" w:cs="Roboto" w:eastAsia="Roboto" w:hAnsi="Roboto"/>
          <w:sz w:val="28"/>
          <w:szCs w:val="28"/>
          <w:rtl w:val="0"/>
        </w:rPr>
        <w:t xml:space="preserve">. 2018;76(3):204-217. doi:10.1093/nutrit/nux073</w:t>
      </w:r>
    </w:p>
    <w:p w:rsidR="00000000" w:rsidDel="00000000" w:rsidP="00000000" w:rsidRDefault="00000000" w:rsidRPr="00000000" w14:paraId="0000001F">
      <w:pPr>
        <w:jc w:val="left"/>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20">
      <w:pPr>
        <w:jc w:val="left"/>
        <w:rPr>
          <w:rFonts w:ascii="Roboto" w:cs="Roboto" w:eastAsia="Roboto" w:hAnsi="Roboto"/>
          <w:sz w:val="28"/>
          <w:szCs w:val="28"/>
        </w:rPr>
      </w:pPr>
      <w:r w:rsidDel="00000000" w:rsidR="00000000" w:rsidRPr="00000000">
        <w:rPr>
          <w:rFonts w:ascii="Roboto" w:cs="Roboto" w:eastAsia="Roboto" w:hAnsi="Roboto"/>
          <w:sz w:val="28"/>
          <w:szCs w:val="28"/>
          <w:rtl w:val="0"/>
        </w:rPr>
        <w:t xml:space="preserve">15. van den Brink AC, Brouwer-Brolsma EM, Berendsen AAM, van de Rest O. The Mediterranean, Dietary Approaches to Stop Hypertension (DASH), and Mediterranean-DASH Intervention for Neurodegenerative Delay (MIND) Diets Are Associated with Less Cognitive Decline and a Lower Risk of Alzheimer’s Disease—A Review. </w:t>
      </w:r>
      <w:r w:rsidDel="00000000" w:rsidR="00000000" w:rsidRPr="00000000">
        <w:rPr>
          <w:rFonts w:ascii="Roboto" w:cs="Roboto" w:eastAsia="Roboto" w:hAnsi="Roboto"/>
          <w:i w:val="1"/>
          <w:sz w:val="28"/>
          <w:szCs w:val="28"/>
          <w:rtl w:val="0"/>
        </w:rPr>
        <w:t xml:space="preserve">Advances in Nutrition</w:t>
      </w:r>
      <w:r w:rsidDel="00000000" w:rsidR="00000000" w:rsidRPr="00000000">
        <w:rPr>
          <w:rFonts w:ascii="Roboto" w:cs="Roboto" w:eastAsia="Roboto" w:hAnsi="Roboto"/>
          <w:sz w:val="28"/>
          <w:szCs w:val="28"/>
          <w:rtl w:val="0"/>
        </w:rPr>
        <w:t xml:space="preserve">. 2019;10(6):1040-1065. doi:10.1093/advances/nmz054</w:t>
      </w:r>
    </w:p>
    <w:p w:rsidR="00000000" w:rsidDel="00000000" w:rsidP="00000000" w:rsidRDefault="00000000" w:rsidRPr="00000000" w14:paraId="00000021">
      <w:pPr>
        <w:jc w:val="left"/>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22">
      <w:pPr>
        <w:jc w:val="left"/>
        <w:rPr>
          <w:rFonts w:ascii="Roboto" w:cs="Roboto" w:eastAsia="Roboto" w:hAnsi="Roboto"/>
          <w:sz w:val="28"/>
          <w:szCs w:val="28"/>
        </w:rPr>
      </w:pPr>
      <w:r w:rsidDel="00000000" w:rsidR="00000000" w:rsidRPr="00000000">
        <w:rPr>
          <w:rFonts w:ascii="Roboto" w:cs="Roboto" w:eastAsia="Roboto" w:hAnsi="Roboto"/>
          <w:sz w:val="28"/>
          <w:szCs w:val="28"/>
          <w:rtl w:val="0"/>
        </w:rPr>
        <w:t xml:space="preserve">16. Rock CL, Thomson C, Gansler T, et al. American Cancer Society guideline for diet and physical activity for cancer prevention. </w:t>
      </w:r>
      <w:r w:rsidDel="00000000" w:rsidR="00000000" w:rsidRPr="00000000">
        <w:rPr>
          <w:rFonts w:ascii="Roboto" w:cs="Roboto" w:eastAsia="Roboto" w:hAnsi="Roboto"/>
          <w:i w:val="1"/>
          <w:sz w:val="28"/>
          <w:szCs w:val="28"/>
          <w:rtl w:val="0"/>
        </w:rPr>
        <w:t xml:space="preserve">CA: A Cancer Journal for Clinicians</w:t>
      </w:r>
      <w:r w:rsidDel="00000000" w:rsidR="00000000" w:rsidRPr="00000000">
        <w:rPr>
          <w:rFonts w:ascii="Roboto" w:cs="Roboto" w:eastAsia="Roboto" w:hAnsi="Roboto"/>
          <w:sz w:val="28"/>
          <w:szCs w:val="28"/>
          <w:rtl w:val="0"/>
        </w:rPr>
        <w:t xml:space="preserve">. 2020;70(4):245-271. doi:10.3322/caac.21591</w:t>
      </w:r>
    </w:p>
    <w:p w:rsidR="00000000" w:rsidDel="00000000" w:rsidP="00000000" w:rsidRDefault="00000000" w:rsidRPr="00000000" w14:paraId="00000023">
      <w:pPr>
        <w:jc w:val="left"/>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24">
      <w:pPr>
        <w:jc w:val="left"/>
        <w:rPr>
          <w:rFonts w:ascii="Roboto" w:cs="Roboto" w:eastAsia="Roboto" w:hAnsi="Roboto"/>
          <w:sz w:val="28"/>
          <w:szCs w:val="28"/>
        </w:rPr>
      </w:pPr>
      <w:r w:rsidDel="00000000" w:rsidR="00000000" w:rsidRPr="00000000">
        <w:rPr>
          <w:rFonts w:ascii="Roboto" w:cs="Roboto" w:eastAsia="Roboto" w:hAnsi="Roboto"/>
          <w:sz w:val="28"/>
          <w:szCs w:val="28"/>
          <w:rtl w:val="0"/>
        </w:rPr>
        <w:t xml:space="preserve">17. Fitzmaurice C, Abate D, Abbasi N, et al. Global, Regional, and National Cancer Incidence, Mortality, Years of Life Lost, Years Lived With Disability, and Disability-Adjusted Life-Years for 29 Cancer Groups, 1990 to 2017. </w:t>
      </w:r>
      <w:r w:rsidDel="00000000" w:rsidR="00000000" w:rsidRPr="00000000">
        <w:rPr>
          <w:rFonts w:ascii="Roboto" w:cs="Roboto" w:eastAsia="Roboto" w:hAnsi="Roboto"/>
          <w:i w:val="1"/>
          <w:sz w:val="28"/>
          <w:szCs w:val="28"/>
          <w:rtl w:val="0"/>
        </w:rPr>
        <w:t xml:space="preserve">JAMA Oncology</w:t>
      </w:r>
      <w:r w:rsidDel="00000000" w:rsidR="00000000" w:rsidRPr="00000000">
        <w:rPr>
          <w:rFonts w:ascii="Roboto" w:cs="Roboto" w:eastAsia="Roboto" w:hAnsi="Roboto"/>
          <w:sz w:val="28"/>
          <w:szCs w:val="28"/>
          <w:rtl w:val="0"/>
        </w:rPr>
        <w:t xml:space="preserve">. 2019;5(12). doi:10.1001/jamaoncol.2019.2996</w:t>
      </w:r>
    </w:p>
    <w:p w:rsidR="00000000" w:rsidDel="00000000" w:rsidP="00000000" w:rsidRDefault="00000000" w:rsidRPr="00000000" w14:paraId="00000025">
      <w:pPr>
        <w:jc w:val="left"/>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26">
      <w:pPr>
        <w:jc w:val="left"/>
        <w:rPr>
          <w:rFonts w:ascii="Roboto" w:cs="Roboto" w:eastAsia="Roboto" w:hAnsi="Roboto"/>
          <w:sz w:val="28"/>
          <w:szCs w:val="28"/>
        </w:rPr>
      </w:pPr>
      <w:r w:rsidDel="00000000" w:rsidR="00000000" w:rsidRPr="00000000">
        <w:rPr>
          <w:rFonts w:ascii="Roboto" w:cs="Roboto" w:eastAsia="Roboto" w:hAnsi="Roboto"/>
          <w:sz w:val="28"/>
          <w:szCs w:val="28"/>
          <w:rtl w:val="0"/>
        </w:rPr>
        <w:t xml:space="preserve">18. Cheng S, Zheng Q, Ding G, Li G. Mediterranean dietary pattern and the risk of prostate cancer. </w:t>
      </w:r>
      <w:r w:rsidDel="00000000" w:rsidR="00000000" w:rsidRPr="00000000">
        <w:rPr>
          <w:rFonts w:ascii="Roboto" w:cs="Roboto" w:eastAsia="Roboto" w:hAnsi="Roboto"/>
          <w:i w:val="1"/>
          <w:sz w:val="28"/>
          <w:szCs w:val="28"/>
          <w:rtl w:val="0"/>
        </w:rPr>
        <w:t xml:space="preserve">Medicine</w:t>
      </w:r>
      <w:r w:rsidDel="00000000" w:rsidR="00000000" w:rsidRPr="00000000">
        <w:rPr>
          <w:rFonts w:ascii="Roboto" w:cs="Roboto" w:eastAsia="Roboto" w:hAnsi="Roboto"/>
          <w:sz w:val="28"/>
          <w:szCs w:val="28"/>
          <w:rtl w:val="0"/>
        </w:rPr>
        <w:t xml:space="preserve">. 2019;98(27). doi:10.1097/md.0000000000016341</w:t>
      </w:r>
    </w:p>
    <w:p w:rsidR="00000000" w:rsidDel="00000000" w:rsidP="00000000" w:rsidRDefault="00000000" w:rsidRPr="00000000" w14:paraId="00000027">
      <w:pPr>
        <w:jc w:val="left"/>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28">
      <w:pPr>
        <w:jc w:val="left"/>
        <w:rPr>
          <w:rFonts w:ascii="Roboto" w:cs="Roboto" w:eastAsia="Roboto" w:hAnsi="Roboto"/>
          <w:sz w:val="28"/>
          <w:szCs w:val="28"/>
        </w:rPr>
      </w:pPr>
      <w:r w:rsidDel="00000000" w:rsidR="00000000" w:rsidRPr="00000000">
        <w:rPr>
          <w:rFonts w:ascii="Roboto" w:cs="Roboto" w:eastAsia="Roboto" w:hAnsi="Roboto"/>
          <w:sz w:val="28"/>
          <w:szCs w:val="28"/>
          <w:rtl w:val="0"/>
        </w:rPr>
        <w:t xml:space="preserve">19. Morze J, Danielewicz A, Przybyłowicz K, Zeng H, Hoffmann G, Schwingshackl L. An updated systematic review and meta-analysis on adherence to mediterranean diet and risk of cancer. </w:t>
      </w:r>
      <w:r w:rsidDel="00000000" w:rsidR="00000000" w:rsidRPr="00000000">
        <w:rPr>
          <w:rFonts w:ascii="Roboto" w:cs="Roboto" w:eastAsia="Roboto" w:hAnsi="Roboto"/>
          <w:i w:val="1"/>
          <w:sz w:val="28"/>
          <w:szCs w:val="28"/>
          <w:rtl w:val="0"/>
        </w:rPr>
        <w:t xml:space="preserve">European Journal of Nutrition</w:t>
      </w:r>
      <w:r w:rsidDel="00000000" w:rsidR="00000000" w:rsidRPr="00000000">
        <w:rPr>
          <w:rFonts w:ascii="Roboto" w:cs="Roboto" w:eastAsia="Roboto" w:hAnsi="Roboto"/>
          <w:sz w:val="28"/>
          <w:szCs w:val="28"/>
          <w:rtl w:val="0"/>
        </w:rPr>
        <w:t xml:space="preserve">. Published online August 8, 2020. doi:10.1007/s00394-020-02346-6</w:t>
      </w:r>
    </w:p>
    <w:p w:rsidR="00000000" w:rsidDel="00000000" w:rsidP="00000000" w:rsidRDefault="00000000" w:rsidRPr="00000000" w14:paraId="00000029">
      <w:pPr>
        <w:jc w:val="left"/>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2A">
      <w:pPr>
        <w:jc w:val="left"/>
        <w:rPr>
          <w:rFonts w:ascii="Roboto" w:cs="Roboto" w:eastAsia="Roboto" w:hAnsi="Roboto"/>
          <w:sz w:val="28"/>
          <w:szCs w:val="28"/>
        </w:rPr>
      </w:pPr>
      <w:r w:rsidDel="00000000" w:rsidR="00000000" w:rsidRPr="00000000">
        <w:rPr>
          <w:rFonts w:ascii="Roboto" w:cs="Roboto" w:eastAsia="Roboto" w:hAnsi="Roboto"/>
          <w:sz w:val="28"/>
          <w:szCs w:val="28"/>
          <w:rtl w:val="0"/>
        </w:rPr>
        <w:t xml:space="preserve">20. Mentella MC, Scaldaferri F, Ricci C, Gasbarrini A, Miggiano GAD. Cancer and Mediterranean Diet: A Review. </w:t>
      </w:r>
      <w:r w:rsidDel="00000000" w:rsidR="00000000" w:rsidRPr="00000000">
        <w:rPr>
          <w:rFonts w:ascii="Roboto" w:cs="Roboto" w:eastAsia="Roboto" w:hAnsi="Roboto"/>
          <w:i w:val="1"/>
          <w:sz w:val="28"/>
          <w:szCs w:val="28"/>
          <w:rtl w:val="0"/>
        </w:rPr>
        <w:t xml:space="preserve">Nutrients</w:t>
      </w:r>
      <w:r w:rsidDel="00000000" w:rsidR="00000000" w:rsidRPr="00000000">
        <w:rPr>
          <w:rFonts w:ascii="Roboto" w:cs="Roboto" w:eastAsia="Roboto" w:hAnsi="Roboto"/>
          <w:sz w:val="28"/>
          <w:szCs w:val="28"/>
          <w:rtl w:val="0"/>
        </w:rPr>
        <w:t xml:space="preserve">. 2019;11(9):2059. doi:10.3390/nu11092059</w:t>
      </w:r>
    </w:p>
    <w:p w:rsidR="00000000" w:rsidDel="00000000" w:rsidP="00000000" w:rsidRDefault="00000000" w:rsidRPr="00000000" w14:paraId="0000002B">
      <w:pPr>
        <w:jc w:val="left"/>
        <w:rPr>
          <w:rFonts w:ascii="Roboto" w:cs="Roboto" w:eastAsia="Roboto" w:hAnsi="Roboto"/>
          <w:sz w:val="28"/>
          <w:szCs w:val="28"/>
        </w:rPr>
      </w:pPr>
      <w:r w:rsidDel="00000000" w:rsidR="00000000" w:rsidRPr="00000000">
        <w:rPr>
          <w:rFonts w:ascii="Roboto" w:cs="Roboto" w:eastAsia="Roboto" w:hAnsi="Roboto"/>
          <w:sz w:val="28"/>
          <w:szCs w:val="28"/>
          <w:rtl w:val="0"/>
        </w:rPr>
        <w:t xml:space="preserve">21. Steck SE, Guinter M, Zheng J, Thomson CA. Index-Based Dietary Patterns and Colorectal Cancer Risk: A Systematic Review. </w:t>
      </w:r>
      <w:r w:rsidDel="00000000" w:rsidR="00000000" w:rsidRPr="00000000">
        <w:rPr>
          <w:rFonts w:ascii="Roboto" w:cs="Roboto" w:eastAsia="Roboto" w:hAnsi="Roboto"/>
          <w:i w:val="1"/>
          <w:sz w:val="28"/>
          <w:szCs w:val="28"/>
          <w:rtl w:val="0"/>
        </w:rPr>
        <w:t xml:space="preserve">Advances in Nutrition</w:t>
      </w:r>
      <w:r w:rsidDel="00000000" w:rsidR="00000000" w:rsidRPr="00000000">
        <w:rPr>
          <w:rFonts w:ascii="Roboto" w:cs="Roboto" w:eastAsia="Roboto" w:hAnsi="Roboto"/>
          <w:sz w:val="28"/>
          <w:szCs w:val="28"/>
          <w:rtl w:val="0"/>
        </w:rPr>
        <w:t xml:space="preserve">. 2015;6(6):763-773. doi:10.3945/an.115.009746</w:t>
      </w:r>
    </w:p>
    <w:p w:rsidR="00000000" w:rsidDel="00000000" w:rsidP="00000000" w:rsidRDefault="00000000" w:rsidRPr="00000000" w14:paraId="0000002C">
      <w:pPr>
        <w:jc w:val="left"/>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2D">
      <w:pPr>
        <w:jc w:val="left"/>
        <w:rPr>
          <w:rFonts w:ascii="Roboto" w:cs="Roboto" w:eastAsia="Roboto" w:hAnsi="Roboto"/>
          <w:sz w:val="28"/>
          <w:szCs w:val="28"/>
        </w:rPr>
      </w:pPr>
      <w:r w:rsidDel="00000000" w:rsidR="00000000" w:rsidRPr="00000000">
        <w:rPr>
          <w:rFonts w:ascii="Roboto" w:cs="Roboto" w:eastAsia="Roboto" w:hAnsi="Roboto"/>
          <w:sz w:val="28"/>
          <w:szCs w:val="28"/>
          <w:rtl w:val="0"/>
        </w:rPr>
        <w:t xml:space="preserve">22. Moazzen S, van der Sloot KWJ, Vonk RJ, de Bock GH, Alizadeh BZ. Diet Quality and Upper Gastrointestinal Cancers Risk: A Meta-Analysis and Critical Assessment of Evidence Quality. </w:t>
      </w:r>
      <w:r w:rsidDel="00000000" w:rsidR="00000000" w:rsidRPr="00000000">
        <w:rPr>
          <w:rFonts w:ascii="Roboto" w:cs="Roboto" w:eastAsia="Roboto" w:hAnsi="Roboto"/>
          <w:i w:val="1"/>
          <w:sz w:val="28"/>
          <w:szCs w:val="28"/>
          <w:rtl w:val="0"/>
        </w:rPr>
        <w:t xml:space="preserve">Nutrients</w:t>
      </w:r>
      <w:r w:rsidDel="00000000" w:rsidR="00000000" w:rsidRPr="00000000">
        <w:rPr>
          <w:rFonts w:ascii="Roboto" w:cs="Roboto" w:eastAsia="Roboto" w:hAnsi="Roboto"/>
          <w:sz w:val="28"/>
          <w:szCs w:val="28"/>
          <w:rtl w:val="0"/>
        </w:rPr>
        <w:t xml:space="preserve">. 2020;12(6). doi:10.3390/nu12061863</w:t>
      </w:r>
    </w:p>
    <w:p w:rsidR="00000000" w:rsidDel="00000000" w:rsidP="00000000" w:rsidRDefault="00000000" w:rsidRPr="00000000" w14:paraId="0000002E">
      <w:pPr>
        <w:jc w:val="left"/>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2F">
      <w:pPr>
        <w:jc w:val="left"/>
        <w:rPr>
          <w:rFonts w:ascii="Roboto" w:cs="Roboto" w:eastAsia="Roboto" w:hAnsi="Roboto"/>
          <w:sz w:val="28"/>
          <w:szCs w:val="28"/>
        </w:rPr>
      </w:pPr>
      <w:r w:rsidDel="00000000" w:rsidR="00000000" w:rsidRPr="00000000">
        <w:rPr>
          <w:rFonts w:ascii="Roboto" w:cs="Roboto" w:eastAsia="Roboto" w:hAnsi="Roboto"/>
          <w:sz w:val="28"/>
          <w:szCs w:val="28"/>
          <w:rtl w:val="0"/>
        </w:rPr>
        <w:t xml:space="preserve">23. Liu J, Ren Z-H, Qiang H, et al. Trends in the incidence of diabetes mellitus: results from the Global Burden of Disease Study 2017 and implications for diabetes mellitus prevention. </w:t>
      </w:r>
      <w:r w:rsidDel="00000000" w:rsidR="00000000" w:rsidRPr="00000000">
        <w:rPr>
          <w:rFonts w:ascii="Roboto" w:cs="Roboto" w:eastAsia="Roboto" w:hAnsi="Roboto"/>
          <w:i w:val="1"/>
          <w:sz w:val="28"/>
          <w:szCs w:val="28"/>
          <w:rtl w:val="0"/>
        </w:rPr>
        <w:t xml:space="preserve">BMC Public Health</w:t>
      </w:r>
      <w:r w:rsidDel="00000000" w:rsidR="00000000" w:rsidRPr="00000000">
        <w:rPr>
          <w:rFonts w:ascii="Roboto" w:cs="Roboto" w:eastAsia="Roboto" w:hAnsi="Roboto"/>
          <w:sz w:val="28"/>
          <w:szCs w:val="28"/>
          <w:rtl w:val="0"/>
        </w:rPr>
        <w:t xml:space="preserve">. 2020;20(1). doi:10.1186/s12889-020-09502-x</w:t>
      </w:r>
    </w:p>
    <w:p w:rsidR="00000000" w:rsidDel="00000000" w:rsidP="00000000" w:rsidRDefault="00000000" w:rsidRPr="00000000" w14:paraId="00000030">
      <w:pPr>
        <w:jc w:val="left"/>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31">
      <w:pPr>
        <w:jc w:val="left"/>
        <w:rPr>
          <w:rFonts w:ascii="Roboto" w:cs="Roboto" w:eastAsia="Roboto" w:hAnsi="Roboto"/>
          <w:sz w:val="28"/>
          <w:szCs w:val="28"/>
        </w:rPr>
      </w:pPr>
      <w:r w:rsidDel="00000000" w:rsidR="00000000" w:rsidRPr="00000000">
        <w:rPr>
          <w:rFonts w:ascii="Roboto" w:cs="Roboto" w:eastAsia="Roboto" w:hAnsi="Roboto"/>
          <w:sz w:val="28"/>
          <w:szCs w:val="28"/>
          <w:rtl w:val="0"/>
        </w:rPr>
        <w:t xml:space="preserve">24. Esposito K, Maiorino MI, Bellastella G, Chiodini P, Panagiotakos D, Giugliano D. A journey into a Mediterranean diet and type 2 diabetes: a systematic review with meta-analyses. </w:t>
      </w:r>
      <w:r w:rsidDel="00000000" w:rsidR="00000000" w:rsidRPr="00000000">
        <w:rPr>
          <w:rFonts w:ascii="Roboto" w:cs="Roboto" w:eastAsia="Roboto" w:hAnsi="Roboto"/>
          <w:i w:val="1"/>
          <w:sz w:val="28"/>
          <w:szCs w:val="28"/>
          <w:rtl w:val="0"/>
        </w:rPr>
        <w:t xml:space="preserve">BMJ Open</w:t>
      </w:r>
      <w:r w:rsidDel="00000000" w:rsidR="00000000" w:rsidRPr="00000000">
        <w:rPr>
          <w:rFonts w:ascii="Roboto" w:cs="Roboto" w:eastAsia="Roboto" w:hAnsi="Roboto"/>
          <w:sz w:val="28"/>
          <w:szCs w:val="28"/>
          <w:rtl w:val="0"/>
        </w:rPr>
        <w:t xml:space="preserve">. 2015;5(8):e008222. doi:10.1136/bmjopen-2015-008222</w:t>
      </w:r>
    </w:p>
    <w:p w:rsidR="00000000" w:rsidDel="00000000" w:rsidP="00000000" w:rsidRDefault="00000000" w:rsidRPr="00000000" w14:paraId="00000032">
      <w:pPr>
        <w:jc w:val="left"/>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33">
      <w:pPr>
        <w:jc w:val="left"/>
        <w:rPr>
          <w:rFonts w:ascii="Roboto" w:cs="Roboto" w:eastAsia="Roboto" w:hAnsi="Roboto"/>
          <w:sz w:val="28"/>
          <w:szCs w:val="28"/>
        </w:rPr>
      </w:pPr>
      <w:r w:rsidDel="00000000" w:rsidR="00000000" w:rsidRPr="00000000">
        <w:rPr>
          <w:rFonts w:ascii="Roboto" w:cs="Roboto" w:eastAsia="Roboto" w:hAnsi="Roboto"/>
          <w:sz w:val="28"/>
          <w:szCs w:val="28"/>
          <w:rtl w:val="0"/>
        </w:rPr>
        <w:t xml:space="preserve">25. Toi PL, Anothaisintawee T, Chaikledkaew U, Briones JR, Reutrakul S, Thakkinstian A. Preventive Role of Diet Interventions and Dietary Factors in Type 2 Diabetes Mellitus: An Umbrella Review. </w:t>
      </w:r>
      <w:r w:rsidDel="00000000" w:rsidR="00000000" w:rsidRPr="00000000">
        <w:rPr>
          <w:rFonts w:ascii="Roboto" w:cs="Roboto" w:eastAsia="Roboto" w:hAnsi="Roboto"/>
          <w:i w:val="1"/>
          <w:sz w:val="28"/>
          <w:szCs w:val="28"/>
          <w:rtl w:val="0"/>
        </w:rPr>
        <w:t xml:space="preserve">Nutrients</w:t>
      </w:r>
      <w:r w:rsidDel="00000000" w:rsidR="00000000" w:rsidRPr="00000000">
        <w:rPr>
          <w:rFonts w:ascii="Roboto" w:cs="Roboto" w:eastAsia="Roboto" w:hAnsi="Roboto"/>
          <w:sz w:val="28"/>
          <w:szCs w:val="28"/>
          <w:rtl w:val="0"/>
        </w:rPr>
        <w:t xml:space="preserve">. 2020;12(9):2722. doi:10.3390/nu12092722</w:t>
      </w:r>
    </w:p>
    <w:p w:rsidR="00000000" w:rsidDel="00000000" w:rsidP="00000000" w:rsidRDefault="00000000" w:rsidRPr="00000000" w14:paraId="00000034">
      <w:pPr>
        <w:jc w:val="left"/>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35">
      <w:pPr>
        <w:jc w:val="left"/>
        <w:rPr>
          <w:rFonts w:ascii="Roboto" w:cs="Roboto" w:eastAsia="Roboto" w:hAnsi="Roboto"/>
          <w:sz w:val="28"/>
          <w:szCs w:val="28"/>
        </w:rPr>
      </w:pPr>
      <w:r w:rsidDel="00000000" w:rsidR="00000000" w:rsidRPr="00000000">
        <w:rPr>
          <w:rFonts w:ascii="Roboto" w:cs="Roboto" w:eastAsia="Roboto" w:hAnsi="Roboto"/>
          <w:sz w:val="28"/>
          <w:szCs w:val="28"/>
          <w:rtl w:val="0"/>
        </w:rPr>
        <w:t xml:space="preserve">26. Raveendran AV, Chacko EC, Pappachan JM. Non-pharmacological Treatment Options in the Management of Diabetes Mellitus. </w:t>
      </w:r>
      <w:r w:rsidDel="00000000" w:rsidR="00000000" w:rsidRPr="00000000">
        <w:rPr>
          <w:rFonts w:ascii="Roboto" w:cs="Roboto" w:eastAsia="Roboto" w:hAnsi="Roboto"/>
          <w:i w:val="1"/>
          <w:sz w:val="28"/>
          <w:szCs w:val="28"/>
          <w:rtl w:val="0"/>
        </w:rPr>
        <w:t xml:space="preserve">European Endocrinology</w:t>
      </w:r>
      <w:r w:rsidDel="00000000" w:rsidR="00000000" w:rsidRPr="00000000">
        <w:rPr>
          <w:rFonts w:ascii="Roboto" w:cs="Roboto" w:eastAsia="Roboto" w:hAnsi="Roboto"/>
          <w:sz w:val="28"/>
          <w:szCs w:val="28"/>
          <w:rtl w:val="0"/>
        </w:rPr>
        <w:t xml:space="preserve">. 2018;14(2):32-33. doi:10.17925/ee.2018.14.2.31</w:t>
      </w:r>
    </w:p>
    <w:p w:rsidR="00000000" w:rsidDel="00000000" w:rsidP="00000000" w:rsidRDefault="00000000" w:rsidRPr="00000000" w14:paraId="00000036">
      <w:pPr>
        <w:jc w:val="left"/>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37">
      <w:pPr>
        <w:jc w:val="left"/>
        <w:rPr>
          <w:rFonts w:ascii="Roboto" w:cs="Roboto" w:eastAsia="Roboto" w:hAnsi="Roboto"/>
          <w:sz w:val="28"/>
          <w:szCs w:val="28"/>
        </w:rPr>
      </w:pPr>
      <w:r w:rsidDel="00000000" w:rsidR="00000000" w:rsidRPr="00000000">
        <w:rPr>
          <w:rFonts w:ascii="Roboto" w:cs="Roboto" w:eastAsia="Roboto" w:hAnsi="Roboto"/>
          <w:sz w:val="28"/>
          <w:szCs w:val="28"/>
          <w:rtl w:val="0"/>
        </w:rPr>
        <w:t xml:space="preserve">27. Uusitupa M, Khan TA, Viguiliouk E, et al. Prevention of Type 2 Diabetes by Lifestyle Changes: A Systematic Review and Meta-Analysis. </w:t>
      </w:r>
      <w:r w:rsidDel="00000000" w:rsidR="00000000" w:rsidRPr="00000000">
        <w:rPr>
          <w:rFonts w:ascii="Roboto" w:cs="Roboto" w:eastAsia="Roboto" w:hAnsi="Roboto"/>
          <w:i w:val="1"/>
          <w:sz w:val="28"/>
          <w:szCs w:val="28"/>
          <w:rtl w:val="0"/>
        </w:rPr>
        <w:t xml:space="preserve">Nutrients</w:t>
      </w:r>
      <w:r w:rsidDel="00000000" w:rsidR="00000000" w:rsidRPr="00000000">
        <w:rPr>
          <w:rFonts w:ascii="Roboto" w:cs="Roboto" w:eastAsia="Roboto" w:hAnsi="Roboto"/>
          <w:sz w:val="28"/>
          <w:szCs w:val="28"/>
          <w:rtl w:val="0"/>
        </w:rPr>
        <w:t xml:space="preserve">. 2019;11(11):2611. doi:10.3390/nu11112611</w:t>
      </w:r>
    </w:p>
    <w:p w:rsidR="00000000" w:rsidDel="00000000" w:rsidP="00000000" w:rsidRDefault="00000000" w:rsidRPr="00000000" w14:paraId="00000038">
      <w:pPr>
        <w:jc w:val="left"/>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39">
      <w:pPr>
        <w:jc w:val="left"/>
        <w:rPr>
          <w:rFonts w:ascii="Roboto" w:cs="Roboto" w:eastAsia="Roboto" w:hAnsi="Roboto"/>
          <w:sz w:val="28"/>
          <w:szCs w:val="28"/>
        </w:rPr>
      </w:pPr>
      <w:r w:rsidDel="00000000" w:rsidR="00000000" w:rsidRPr="00000000">
        <w:rPr>
          <w:rFonts w:ascii="Roboto" w:cs="Roboto" w:eastAsia="Roboto" w:hAnsi="Roboto"/>
          <w:sz w:val="28"/>
          <w:szCs w:val="28"/>
          <w:rtl w:val="0"/>
        </w:rPr>
        <w:t xml:space="preserve">28. Harvard T.H. Chan School of Public Health. Diet Review: Mediterranean Diet. Harvard T.H. Chan School of Public Health. Published December 12, 2018. Accessed December 30, 2020. </w:t>
      </w:r>
      <w:hyperlink r:id="rId10">
        <w:r w:rsidDel="00000000" w:rsidR="00000000" w:rsidRPr="00000000">
          <w:rPr>
            <w:rFonts w:ascii="Roboto" w:cs="Roboto" w:eastAsia="Roboto" w:hAnsi="Roboto"/>
            <w:color w:val="1155cc"/>
            <w:sz w:val="28"/>
            <w:szCs w:val="28"/>
            <w:u w:val="single"/>
            <w:rtl w:val="0"/>
          </w:rPr>
          <w:t xml:space="preserve">https://www.hsph.harvard.edu/nutritionsource/healthy-weight/diet-reviews/mediterranean-diet/</w:t>
        </w:r>
      </w:hyperlink>
      <w:r w:rsidDel="00000000" w:rsidR="00000000" w:rsidRPr="00000000">
        <w:rPr>
          <w:rtl w:val="0"/>
        </w:rPr>
      </w:r>
    </w:p>
    <w:p w:rsidR="00000000" w:rsidDel="00000000" w:rsidP="00000000" w:rsidRDefault="00000000" w:rsidRPr="00000000" w14:paraId="0000003A">
      <w:pPr>
        <w:jc w:val="left"/>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3B">
      <w:pPr>
        <w:jc w:val="left"/>
        <w:rPr>
          <w:rFonts w:ascii="Roboto" w:cs="Roboto" w:eastAsia="Roboto" w:hAnsi="Roboto"/>
          <w:sz w:val="28"/>
          <w:szCs w:val="28"/>
        </w:rPr>
      </w:pPr>
      <w:r w:rsidDel="00000000" w:rsidR="00000000" w:rsidRPr="00000000">
        <w:rPr>
          <w:rFonts w:ascii="Roboto" w:cs="Roboto" w:eastAsia="Roboto" w:hAnsi="Roboto"/>
          <w:sz w:val="28"/>
          <w:szCs w:val="28"/>
          <w:highlight w:val="white"/>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hsph.harvard.edu/nutritionsource/healthy-weight/diet-reviews/mediterranean-diet/" TargetMode="External"/><Relationship Id="rId9" Type="http://schemas.openxmlformats.org/officeDocument/2006/relationships/hyperlink" Target="https://www.strokebestpractices.ca/recommendations/secondary-prevention-of-stroke" TargetMode="External"/><Relationship Id="rId5" Type="http://schemas.openxmlformats.org/officeDocument/2006/relationships/styles" Target="styles.xml"/><Relationship Id="rId6" Type="http://schemas.openxmlformats.org/officeDocument/2006/relationships/hyperlink" Target="https://www.sciencedaily.com/releases/2020/12/201204110204.htm" TargetMode="External"/><Relationship Id="rId7" Type="http://schemas.openxmlformats.org/officeDocument/2006/relationships/hyperlink" Target="https://www.mayoclinic.org/healthy-lifestyle/nutrition-and-healthy-eating/in-depth/mediterranean-diet/art-20047801" TargetMode="External"/><Relationship Id="rId8" Type="http://schemas.openxmlformats.org/officeDocument/2006/relationships/hyperlink" Target="https://www.who.int/mental_health/neurology/dementia/guidelines_risk_reduction/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